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120"/>
      </w:pPr>
      <w:r>
        <w:rPr>
          <w:rFonts w:ascii="Calibri" w:hAnsi="Calibri" w:eastAsia="Microsoft YaHei"/>
          <w:b/>
          <w:color w:val="0E6B68"/>
          <w:sz w:val="17"/>
        </w:rPr>
        <w:t>COURSE 01  ·  BILINGUAL CURRICULUM BRIEF</w:t>
      </w:r>
    </w:p>
    <w:tbl>
      <w:tblPr>
        <w:tblW w:type="dxa" w:w="912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120"/>
      </w:tblGrid>
      <w:tr>
        <w:trPr>
          <w:cantSplit/>
          <w:tblHeader/>
        </w:trPr>
        <w:tc>
          <w:tcPr>
            <w:tcW w:type="dxa" w:w="9120"/>
            <w:tcMar>
              <w:top w:w="380" w:type="dxa"/>
              <w:start w:w="380" w:type="dxa"/>
              <w:bottom w:w="380" w:type="dxa"/>
              <w:end w:w="380" w:type="dxa"/>
            </w:tcMar>
            <w:vAlign w:val="center"/>
            <w:shd w:fill="17324D"/>
          </w:tcPr>
          <w:p>
            <w:pPr>
              <w:spacing w:after="200"/>
            </w:pPr>
            <w:r>
              <w:rPr>
                <w:rFonts w:ascii="Calibri" w:hAnsi="Calibri" w:eastAsia="Microsoft YaHei"/>
                <w:b/>
                <w:color w:val="FFFFFF"/>
                <w:sz w:val="56"/>
              </w:rPr>
              <w:t>编程基础</w:t>
            </w:r>
          </w:p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D8E5EC"/>
                <w:sz w:val="40"/>
              </w:rPr>
              <w:t>Foundations of Programming</w:t>
            </w:r>
          </w:p>
          <w:p>
            <w:r>
              <w:rPr>
                <w:rFonts w:ascii="Calibri" w:hAnsi="Calibri" w:eastAsia="Microsoft YaHei"/>
                <w:color w:val="FFFFFF"/>
                <w:sz w:val="23"/>
              </w:rPr>
              <w:t>Y7–8 探索阶段 · Y9–10 衔接阶段</w:t>
              <w:br/>
              <w:t>Y7–8 Explorer Stage · Y9–10 Bridge Stage</w:t>
            </w:r>
          </w:p>
        </w:tc>
      </w:tr>
    </w:tbl>
    <w:p>
      <w:pPr>
        <w:spacing w:before="360" w:after="200"/>
      </w:pPr>
      <w:r>
        <w:rPr>
          <w:rFonts w:ascii="Calibri" w:hAnsi="Calibri" w:eastAsia="Microsoft YaHei"/>
          <w:b/>
          <w:color w:val="0E6B68"/>
          <w:sz w:val="21"/>
        </w:rPr>
        <w:t>IB DP Computer Science SL 对齐型校本课程</w:t>
        <w:br/>
        <w:t>A school-designed pathway aligned to IB DP Computer Science SL</w:t>
      </w:r>
    </w:p>
    <w:tbl>
      <w:tblPr>
        <w:tblW w:type="dxa" w:w="912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4560"/>
        <w:gridCol w:w="4560"/>
      </w:tblGrid>
      <w:tr>
        <w:trPr>
          <w:cantSplit/>
          <w:tblHeader/>
        </w:trPr>
        <w:tc>
          <w:tcPr>
            <w:tcW w:type="dxa" w:w="4560"/>
            <w:tcMar>
              <w:top w:w="180" w:type="dxa"/>
              <w:start w:w="200" w:type="dxa"/>
              <w:bottom w:w="180" w:type="dxa"/>
              <w:end w:w="200" w:type="dxa"/>
            </w:tcMar>
            <w:vAlign w:val="center"/>
            <w:shd w:fill="E3F0EE"/>
          </w:tcPr>
          <w:p>
            <w:r>
              <w:rPr>
                <w:rFonts w:ascii="Calibri" w:hAnsi="Calibri" w:eastAsia="Microsoft YaHei"/>
                <w:b/>
                <w:color w:val="0E6B68"/>
                <w:sz w:val="17"/>
              </w:rPr>
              <w:t>中文概览</w:t>
              <w:br/>
            </w:r>
            <w:r>
              <w:rPr>
                <w:rFonts w:ascii="Calibri" w:hAnsi="Calibri" w:eastAsia="Microsoft YaHei"/>
                <w:color w:val="17324D"/>
                <w:sz w:val="18"/>
              </w:rPr>
              <w:t>一条四年递进式学习路径：学生从可视化编程与数字/AI素养出发，逐步进入 Python、算法、数据库、网络、面向对象编程与机器学习，并在 Y10 完成一项面向真实用户的计算解决方案。</w:t>
            </w:r>
          </w:p>
        </w:tc>
        <w:tc>
          <w:tcPr>
            <w:tcW w:type="dxa" w:w="4560"/>
            <w:tcMar>
              <w:top w:w="180" w:type="dxa"/>
              <w:start w:w="200" w:type="dxa"/>
              <w:bottom w:w="180" w:type="dxa"/>
              <w:end w:w="200" w:type="dxa"/>
            </w:tcMar>
            <w:vAlign w:val="center"/>
            <w:shd w:fill="F8F3EA"/>
          </w:tcPr>
          <w:p>
            <w:r>
              <w:rPr>
                <w:rFonts w:ascii="Calibri" w:hAnsi="Calibri" w:eastAsia="Microsoft YaHei"/>
                <w:b/>
                <w:color w:val="0E6B68"/>
                <w:sz w:val="17"/>
              </w:rPr>
              <w:t>English overview</w:t>
              <w:br/>
            </w:r>
            <w:r>
              <w:rPr>
                <w:rFonts w:ascii="Calibri" w:hAnsi="Calibri" w:eastAsia="Microsoft YaHei"/>
                <w:color w:val="17324D"/>
                <w:sz w:val="18"/>
              </w:rPr>
              <w:t>A four-year progression from visual programming and digital/AI literacy into Python, algorithms, databases, networks, object-oriented programming and machine learning, culminating in a Y10 computational solution for a real user.</w:t>
            </w:r>
          </w:p>
        </w:tc>
      </w:tr>
    </w:tbl>
    <w:p>
      <w:pPr>
        <w:spacing w:before="480"/>
        <w:jc w:val="left"/>
      </w:pPr>
      <w:r>
        <w:rPr>
          <w:rFonts w:ascii="Calibri" w:hAnsi="Calibri" w:eastAsia="Microsoft YaHei"/>
          <w:b/>
          <w:color w:val="687783"/>
          <w:sz w:val="18"/>
        </w:rPr>
        <w:t>Prepared for school curriculum review  ·  12 August 2026</w:t>
        <w:br/>
      </w:r>
      <w:r>
        <w:rPr>
          <w:rFonts w:ascii="Calibri" w:hAnsi="Calibri" w:eastAsia="Microsoft YaHei"/>
          <w:color w:val="687783"/>
          <w:sz w:val="17"/>
        </w:rPr>
        <w:t>Research basis: official curriculum, competition and developer sources listed in this document.</w:t>
      </w:r>
    </w:p>
    <w:p>
      <w:r>
        <w:br w:type="page"/>
      </w:r>
    </w:p>
    <w:p>
      <w:bookmarkStart w:id="10" w:name="part_zh"/>
      <w:pPr>
        <w:pStyle w:val="Heading1"/>
      </w:pPr>
      <w:r>
        <w:t>A 部分 · 中文课程方案</w:t>
      </w:r>
      <w:bookmarkEnd w:id="10"/>
    </w:p>
    <w:p>
      <w:pPr>
        <w:keepNext/>
        <w:spacing w:after="120"/>
      </w:pPr>
      <w:r>
        <w:rPr>
          <w:rFonts w:ascii="Calibri" w:hAnsi="Calibri" w:eastAsia="Microsoft YaHei"/>
          <w:b/>
          <w:color w:val="0E6B68"/>
          <w:sz w:val="17"/>
        </w:rPr>
        <w:t>IB DP COMPUTER SCIENCE SL 对齐型校本课程</w:t>
      </w:r>
    </w:p>
    <w:p>
      <w:pPr>
        <w:spacing w:after="180"/>
      </w:pPr>
      <w:r>
        <w:rPr>
          <w:rFonts w:ascii="Calibri" w:hAnsi="Calibri" w:eastAsia="Microsoft YaHei"/>
          <w:color w:val="24313A"/>
          <w:sz w:val="21"/>
        </w:rPr>
        <w:t>一条四年递进式学习路径：学生从可视化编程与数字/AI素养出发，逐步进入 Python、算法、数据库、网络、面向对象编程与机器学习，并在 Y10 完成一项面向真实用户的计算解决方案。</w:t>
      </w:r>
    </w:p>
    <w:tbl>
      <w:tblPr>
        <w:tblW w:type="dxa" w:w="912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120"/>
      </w:tblGrid>
      <w:tr>
        <w:trPr>
          <w:cantSplit/>
          <w:tblHeader/>
        </w:trPr>
        <w:tc>
          <w:tcPr>
            <w:tcW w:type="dxa" w:w="9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3F0EE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17324D"/>
                <w:sz w:val="19"/>
              </w:rPr>
              <w:t>本课程是学校开发的 IB DP CS 前置课程，并非 IB 官方课程或 IB 授权产品；对齐依据为 2025 年起教学、2027 年首次评估的新 DP Computer Science SL 公开课程框架。</w:t>
            </w:r>
          </w:p>
        </w:tc>
      </w:tr>
    </w:tbl>
    <w:p>
      <w:pPr>
        <w:spacing w:after="0"/>
      </w:pPr>
    </w:p>
    <w:tbl>
      <w:tblPr>
        <w:tblW w:type="dxa" w:w="912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4560"/>
        <w:gridCol w:w="4560"/>
      </w:tblGrid>
      <w:tr>
        <w:trPr>
          <w:cantSplit/>
          <w:tblHeader/>
        </w:trPr>
        <w:tc>
          <w:tcPr>
            <w:tcW w:type="dxa" w:w="4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3F0EE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对象</w:t>
              <w:br/>
            </w:r>
            <w:r>
              <w:rPr>
                <w:rFonts w:ascii="Calibri" w:hAnsi="Calibri" w:eastAsia="Microsoft YaHei"/>
                <w:b/>
                <w:color w:val="17324D"/>
                <w:sz w:val="19"/>
              </w:rPr>
              <w:t>Y7–10，零基础可进入</w:t>
            </w:r>
          </w:p>
        </w:tc>
        <w:tc>
          <w:tcPr>
            <w:tcW w:type="dxa" w:w="4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3EA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建议课时</w:t>
              <w:br/>
            </w:r>
            <w:r>
              <w:rPr>
                <w:rFonts w:ascii="Calibri" w:hAnsi="Calibri" w:eastAsia="Microsoft YaHei"/>
                <w:b/>
                <w:color w:val="17324D"/>
                <w:sz w:val="19"/>
              </w:rPr>
              <w:t>Y7–8 每学年 60–72 小时；Y9–10 每学年 72–90 小时</w:t>
            </w:r>
          </w:p>
        </w:tc>
      </w:tr>
      <w:tr>
        <w:trPr>
          <w:cantSplit/>
        </w:trPr>
        <w:tc>
          <w:tcPr>
            <w:tcW w:type="dxa" w:w="4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3F0EE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主语言</w:t>
              <w:br/>
            </w:r>
            <w:r>
              <w:rPr>
                <w:rFonts w:ascii="Calibri" w:hAnsi="Calibri" w:eastAsia="Microsoft YaHei"/>
                <w:b/>
                <w:color w:val="17324D"/>
                <w:sz w:val="19"/>
              </w:rPr>
              <w:t>Y7 可视化编程＋Python 启蒙；Y8–10 Python</w:t>
            </w:r>
          </w:p>
        </w:tc>
        <w:tc>
          <w:tcPr>
            <w:tcW w:type="dxa" w:w="4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3EA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毕业作品</w:t>
              <w:br/>
            </w:r>
            <w:r>
              <w:rPr>
                <w:rFonts w:ascii="Calibri" w:hAnsi="Calibri" w:eastAsia="Microsoft YaHei"/>
                <w:b/>
                <w:color w:val="17324D"/>
                <w:sz w:val="19"/>
              </w:rPr>
              <w:t>可运行程序、测试记录、AI 使用声明与口头答辩</w:t>
            </w:r>
          </w:p>
        </w:tc>
      </w:tr>
    </w:tbl>
    <w:p>
      <w:pPr>
        <w:pStyle w:val="Heading2"/>
      </w:pPr>
      <w:r>
        <w:t>1. 课程定位与设计原则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以 IB 的概念理解、计算思维、探究、真实情境与反思为教学骨架，而不是提前刷 DP 试题。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每个编程单元同时培养算法表达、调试、测试、解释与学术诚信；AI 可以辅助学习，但不能替代学生理解。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AI 内容从 Y7 的识别与质疑，递进到 Y10 的数据、模型、评估、公平性、隐私与可解释性。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学生通过小作品持续积累证据，Y10 以需求分析—设计—开发—测试—评价的完整周期收束。</w:t>
      </w:r>
    </w:p>
    <w:p>
      <w:pPr>
        <w:pStyle w:val="Heading2"/>
      </w:pPr>
      <w:r>
        <w:t>2. 培养目标</w:t>
      </w:r>
    </w:p>
    <w:p>
      <w:pPr>
        <w:spacing w:after="80"/>
        <w:ind w:left="432" w:hanging="432"/>
      </w:pPr>
      <w:r>
        <w:rPr>
          <w:rFonts w:ascii="Calibri" w:hAnsi="Calibri" w:eastAsia="Microsoft YaHei"/>
          <w:color w:val="24313A"/>
          <w:sz w:val="20"/>
        </w:rPr>
        <w:t>1.  理解计算机系统、网络、数据、数据库和机器学习的核心概念。</w:t>
      </w:r>
    </w:p>
    <w:p>
      <w:pPr>
        <w:spacing w:after="80"/>
        <w:ind w:left="432" w:hanging="432"/>
      </w:pPr>
      <w:r>
        <w:rPr>
          <w:rFonts w:ascii="Calibri" w:hAnsi="Calibri" w:eastAsia="Microsoft YaHei"/>
          <w:color w:val="24313A"/>
          <w:sz w:val="20"/>
        </w:rPr>
        <w:t>2.  能把问题分解为可执行步骤，设计、比较并改进算法。</w:t>
      </w:r>
    </w:p>
    <w:p>
      <w:pPr>
        <w:spacing w:after="80"/>
        <w:ind w:left="432" w:hanging="432"/>
      </w:pPr>
      <w:r>
        <w:rPr>
          <w:rFonts w:ascii="Calibri" w:hAnsi="Calibri" w:eastAsia="Microsoft YaHei"/>
          <w:color w:val="24313A"/>
          <w:sz w:val="20"/>
        </w:rPr>
        <w:t>3.  能使用 Python 编写结构清晰、可测试、可解释的程序。</w:t>
      </w:r>
    </w:p>
    <w:p>
      <w:pPr>
        <w:spacing w:after="80"/>
        <w:ind w:left="432" w:hanging="432"/>
      </w:pPr>
      <w:r>
        <w:rPr>
          <w:rFonts w:ascii="Calibri" w:hAnsi="Calibri" w:eastAsia="Microsoft YaHei"/>
          <w:color w:val="24313A"/>
          <w:sz w:val="20"/>
        </w:rPr>
        <w:t>4.  能负责任地使用生成式 AI：声明使用范围，验证输出，保护个人数据，识别偏差与幻觉。</w:t>
      </w:r>
    </w:p>
    <w:p>
      <w:pPr>
        <w:spacing w:after="80"/>
        <w:ind w:left="432" w:hanging="432"/>
      </w:pPr>
      <w:r>
        <w:rPr>
          <w:rFonts w:ascii="Calibri" w:hAnsi="Calibri" w:eastAsia="Microsoft YaHei"/>
          <w:color w:val="24313A"/>
          <w:sz w:val="20"/>
        </w:rPr>
        <w:t>5.  能围绕真实用户构建计算解决方案并用证据评价其有效性。</w:t>
      </w:r>
    </w:p>
    <w:p>
      <w:pPr>
        <w:pStyle w:val="Heading2"/>
      </w:pPr>
      <w:r>
        <w:t>3. 章节与教学内容</w:t>
      </w:r>
    </w:p>
    <w:tbl>
      <w:tblPr>
        <w:tblStyle w:val="TableGrid"/>
        <w:tblW w:type="dxa" w:w="912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1300"/>
        <w:gridCol w:w="4850"/>
        <w:gridCol w:w="2970"/>
      </w:tblGrid>
      <w:tr>
        <w:trPr>
          <w:cantSplit/>
          <w:tblHeader/>
        </w:trPr>
        <w:tc>
          <w:tcPr>
            <w:tcW w:type="dxa" w:w="1300"/>
            <w:shd w:fill="0E6B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FFFFFF"/>
                <w:sz w:val="17"/>
              </w:rPr>
              <w:t>阶段 / Stage</w:t>
            </w:r>
          </w:p>
        </w:tc>
        <w:tc>
          <w:tcPr>
            <w:tcW w:type="dxa" w:w="4850"/>
            <w:shd w:fill="0E6B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FFFFFF"/>
                <w:sz w:val="17"/>
              </w:rPr>
              <w:t>章节与核心内容 / Chapter &amp; core content</w:t>
            </w:r>
          </w:p>
        </w:tc>
        <w:tc>
          <w:tcPr>
            <w:tcW w:type="dxa" w:w="2970"/>
            <w:shd w:fill="0E6B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FFFFFF"/>
                <w:sz w:val="17"/>
              </w:rPr>
              <w:t>AI 实践与成果 / AI practice &amp; evidence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Y7 · 1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数字世界与 AI 素养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硬件、软件、输入/处理/输出/存储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AI 与普通自动化的区别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生成式 AI 的能力、幻觉、隐私与引用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对同一问题比较搜索、规则程序与生成式 AI 的回答。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概念图＋AI 输出核查单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Y7 · 2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算法、事件与顺序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分解、模式识别、抽象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流程图与伪代码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事件驱动的可视化程序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把 AI 给出的含糊步骤改写成精确算法。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交互故事或游戏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Y7 · 3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变量、选择与循环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数据类型与变量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布尔逻辑与分支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计数/条件循环与跟踪表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利用反例检查 AI 生成的逻辑。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测验应用＋测试表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Y7 · 4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函数、调试与数据故事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函数与参数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语法/运行/逻辑错误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简单表格数据与可视化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用提示词请求解释而非直接答案，并记录采纳/拒绝理由。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数据故事＋调试日志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Y7 · 5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机器如何学习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特征、标签与训练数据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分类器与混淆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数据代表性、偏差与公平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训练一个小型分类器并用未见数据测试。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模型卡＋演示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Y8 · 1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从积木到 Python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输入输出、变量、运算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if/for/while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函数、字符串、列表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逐行解释 AI 建议的代码，学生必须能够脱离工具重建核心逻辑。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Python 迷你项目集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Y8 · 2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算法、搜索与排序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线性搜索与二分查找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简单排序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正确性、效率与边界条件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让 AI 生成测试数据，再由学生判断覆盖是否充分。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算法比较实验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Y8 · 3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网络、安全与数据库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互联网、协议、客户端/服务器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身份认证、社会工程与密码安全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表、键、查询与基础 SQL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分析聊天机器人为何不应接收密码或敏感学生数据。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安全审计＋小型数据库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Y8 · 4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数据到机器学习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清理、划分训练/测试数据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准确率与错误分析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相关不等于因果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比较规则基线与分类模型，并说明选择。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机器学习实验报告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Y8 · 5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团队应用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用户故事与界面原型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结对编程、版本记录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测试、反馈与迭代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提交提示词/输出/验证/修改的使用记录。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团队应用＋个人反思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Y9 · 1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Python 工程基础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模块化、作用域、文件与异常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断言、单元测试与调试器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代码风格与文档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把 AI 生成代码视为未经审查的草稿。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命令行工具＋测试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Y9 · 2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算法与数据结构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列表、字典、栈与队列概念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搜索、排序与递归入门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操作次数与可扩展性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用跟踪表验证算法，不以 AI 的自信语气作为证据。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算法实验册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Y9 · 3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面向对象编程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类、对象、属性、方法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封装、继承与组合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UML 类图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评审 AI 提出的类设计，删除不必要的抽象。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OOP 模拟项目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Y9 · 4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系统、网络与数据库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二进制、逻辑与系统组成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网络分层、协议与安全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关系模型、规范化入门与 SQL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讨论云端 AI 请求经过的系统与数据路径。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网络说明书＋数据库应用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Y9 · 5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机器学习基础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监督/无监督学习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特征、基线、训练/验证/测试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准确率、精确率、召回率与局限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建立可复现实验并记录数据来源。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模型评估报告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Y10 · 1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算法设计与程序质量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分解、抽象、模块接口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算法比较与边界测试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重构、可读性与维护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对 AI 建议执行测试、静态检查和人工解释三重验证。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测试驱动项目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Y10 · 2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OOP 与数据建模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多类协作与 UML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数据库设计、连接与查询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数据完整性与访问控制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设计最小数据收集方案，避免把个人信息交给外部模型。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数据驱动应用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Y10 · 3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机器学习与社会技术系统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模型选择、过拟合与指标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公平性、隐私、知识产权与环境成本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人机协作与可解释性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完成数据卡/模型卡和风险登记表。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AI 功能原型＋审计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Y10 · 4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新兴技术案例研究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阅读多来源技术材料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利益相关者与影响分析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基于证据的论证与引用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核验生成式 AI 的事实、引用和遗漏视角。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案例简报＋讨论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Y10 · 5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计算解决方案 Mini-IA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真实客户/用户与成功标准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设计、开发、测试和迭代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评价、演示与口头答辩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AI：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附 AI 使用声明；学生必须独立解释并修改全部提交代码。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成果：</w:t>
            </w:r>
            <w:r>
              <w:rPr>
                <w:rFonts w:ascii="Calibri" w:hAnsi="Calibri" w:eastAsia="Microsoft YaHei"/>
                <w:color w:val="24313A"/>
                <w:sz w:val="16"/>
              </w:rPr>
              <w:t>完整项目档案</w:t>
            </w:r>
          </w:p>
        </w:tc>
      </w:tr>
    </w:tbl>
    <w:p>
      <w:pPr>
        <w:pStyle w:val="Heading2"/>
      </w:pPr>
      <w:r>
        <w:t>4. 评价设计</w:t>
      </w:r>
    </w:p>
    <w:tbl>
      <w:tblPr>
        <w:tblStyle w:val="TableGrid"/>
        <w:tblW w:type="dxa" w:w="912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600"/>
        <w:gridCol w:w="1100"/>
        <w:gridCol w:w="5420"/>
      </w:tblGrid>
      <w:tr>
        <w:trPr>
          <w:cantSplit/>
          <w:tblHeader/>
        </w:trPr>
        <w:tc>
          <w:tcPr>
            <w:tcW w:type="dxa" w:w="2600"/>
            <w:shd w:fill="0E6B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Microsoft YaHei"/>
                <w:b/>
                <w:color w:val="FFFFFF"/>
                <w:sz w:val="17"/>
              </w:rPr>
              <w:t>构成</w:t>
            </w:r>
          </w:p>
        </w:tc>
        <w:tc>
          <w:tcPr>
            <w:tcW w:type="dxa" w:w="1100"/>
            <w:shd w:fill="0E6B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Microsoft YaHei"/>
                <w:b/>
                <w:color w:val="FFFFFF"/>
                <w:sz w:val="17"/>
              </w:rPr>
              <w:t>比例</w:t>
            </w:r>
          </w:p>
        </w:tc>
        <w:tc>
          <w:tcPr>
            <w:tcW w:type="dxa" w:w="5420"/>
            <w:shd w:fill="0E6B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Microsoft YaHei"/>
                <w:b/>
                <w:color w:val="FFFFFF"/>
                <w:sz w:val="17"/>
              </w:rPr>
              <w:t>核心证据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项目与学习档案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45%</w:t>
            </w:r>
          </w:p>
        </w:tc>
        <w:tc>
          <w:tcPr>
            <w:tcW w:type="dxa" w:w="5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程序、设计、测试、迭代和反思</w:t>
            </w:r>
          </w:p>
        </w:tc>
      </w:tr>
      <w:tr>
        <w:trPr>
          <w:cantSplit/>
        </w:trPr>
        <w:tc>
          <w:tcPr>
            <w:tcW w:type="dxa" w:w="26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限时编程实践</w:t>
            </w:r>
          </w:p>
        </w:tc>
        <w:tc>
          <w:tcPr>
            <w:tcW w:type="dxa" w:w="11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25%</w:t>
            </w:r>
          </w:p>
        </w:tc>
        <w:tc>
          <w:tcPr>
            <w:tcW w:type="dxa" w:w="542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个人独立完成、可解释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概念理解与书面表达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20%</w:t>
            </w:r>
          </w:p>
        </w:tc>
        <w:tc>
          <w:tcPr>
            <w:tcW w:type="dxa" w:w="5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系统、网络、数据、算法与 AI</w:t>
            </w:r>
          </w:p>
        </w:tc>
      </w:tr>
      <w:tr>
        <w:trPr>
          <w:cantSplit/>
        </w:trPr>
        <w:tc>
          <w:tcPr>
            <w:tcW w:type="dxa" w:w="26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AI 伦理与使用记录</w:t>
            </w:r>
          </w:p>
        </w:tc>
        <w:tc>
          <w:tcPr>
            <w:tcW w:type="dxa" w:w="11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10%</w:t>
            </w:r>
          </w:p>
        </w:tc>
        <w:tc>
          <w:tcPr>
            <w:tcW w:type="dxa" w:w="542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提示词、验证、引用、隐私与偏差反思</w:t>
            </w:r>
          </w:p>
        </w:tc>
      </w:tr>
    </w:tbl>
    <w:p>
      <w:pPr>
        <w:spacing w:after="0"/>
      </w:pPr>
    </w:p>
    <w:p>
      <w:pPr>
        <w:pStyle w:val="Heading2"/>
      </w:pPr>
      <w:r>
        <w:t>5. 平台与教学资源</w:t>
      </w:r>
    </w:p>
    <w:tbl>
      <w:tblPr>
        <w:tblStyle w:val="TableGrid"/>
        <w:tblW w:type="dxa" w:w="912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500"/>
        <w:gridCol w:w="4300"/>
        <w:gridCol w:w="2320"/>
      </w:tblGrid>
      <w:tr>
        <w:trPr>
          <w:cantSplit/>
          <w:tblHeader/>
        </w:trPr>
        <w:tc>
          <w:tcPr>
            <w:tcW w:type="dxa" w:w="2500"/>
            <w:shd w:fill="0E6B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Microsoft YaHei"/>
                <w:b/>
                <w:color w:val="FFFFFF"/>
                <w:sz w:val="17"/>
              </w:rPr>
              <w:t>平台/资源</w:t>
            </w:r>
          </w:p>
        </w:tc>
        <w:tc>
          <w:tcPr>
            <w:tcW w:type="dxa" w:w="4300"/>
            <w:shd w:fill="0E6B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Microsoft YaHei"/>
                <w:b/>
                <w:color w:val="FFFFFF"/>
                <w:sz w:val="17"/>
              </w:rPr>
              <w:t>课程角色</w:t>
            </w:r>
          </w:p>
        </w:tc>
        <w:tc>
          <w:tcPr>
            <w:tcW w:type="dxa" w:w="2320"/>
            <w:shd w:fill="0E6B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Microsoft YaHei"/>
                <w:b/>
                <w:color w:val="FFFFFF"/>
                <w:sz w:val="17"/>
              </w:rPr>
              <w:t>权威性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IB Programme Resource Centre（My IB）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唯一权威课程层：学科指南、教师支持材料、样题与学校可访问资源。</w:t>
            </w:r>
          </w:p>
        </w:tc>
        <w:tc>
          <w:tcPr>
            <w:tcW w:type="dxa" w:w="2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IB 官方；学校登录</w:t>
            </w:r>
          </w:p>
        </w:tc>
      </w:tr>
      <w:tr>
        <w:trPr>
          <w:cantSplit/>
        </w:trPr>
        <w:tc>
          <w:tcPr>
            <w:tcW w:type="dxa" w:w="25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IB Exchange / DP nano resources</w:t>
            </w:r>
          </w:p>
        </w:tc>
        <w:tc>
          <w:tcPr>
            <w:tcW w:type="dxa" w:w="4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教师专业学习、经策展的教学材料与新课程更新。</w:t>
            </w:r>
          </w:p>
        </w:tc>
        <w:tc>
          <w:tcPr>
            <w:tcW w:type="dxa" w:w="232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IB 官方；部分需 My IB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Code.org CS Discoveries / AI Discoveries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Y7–8 的课堂活动、可视化编程和 AI 素养资源。</w:t>
            </w:r>
          </w:p>
        </w:tc>
        <w:tc>
          <w:tcPr>
            <w:tcW w:type="dxa" w:w="2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第三方非营利资源；不是 IB 官方平台</w:t>
            </w:r>
          </w:p>
        </w:tc>
      </w:tr>
      <w:tr>
        <w:trPr>
          <w:cantSplit/>
        </w:trPr>
        <w:tc>
          <w:tcPr>
            <w:tcW w:type="dxa" w:w="25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CodeHS 模块</w:t>
            </w:r>
          </w:p>
        </w:tc>
        <w:tc>
          <w:tcPr>
            <w:tcW w:type="dxa" w:w="4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Y9–10 的 Python、AI、网络安全与 Java 补充练习；按 IB 缺口组合使用。</w:t>
            </w:r>
          </w:p>
        </w:tc>
        <w:tc>
          <w:tcPr>
            <w:tcW w:type="dxa" w:w="232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第三方平台；CodeHS 明确尚无完整覆盖 2025 新大纲的专门课程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学校 Git 仓库＋教师自建材料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补齐系统、网络、数据库、案例研究与过程证据；保护学生代码和数据。</w:t>
            </w:r>
          </w:p>
        </w:tc>
        <w:tc>
          <w:tcPr>
            <w:tcW w:type="dxa" w:w="2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校内治理层</w:t>
            </w:r>
          </w:p>
        </w:tc>
      </w:tr>
    </w:tbl>
    <w:p>
      <w:pPr>
        <w:spacing w:after="0"/>
      </w:pPr>
    </w:p>
    <w:p>
      <w:pPr>
        <w:spacing w:after="40"/>
      </w:pPr>
      <w:hyperlink r:id="rId11">
        <w:r>
          <w:rPr>
            <w:rFonts w:ascii="Calibri" w:hAnsi="Calibri" w:eastAsia="Microsoft YaHei"/>
            <w:color w:val="0E6B68"/>
            <w:u w:val="single"/>
          </w:rPr>
          <w:t>IB Programme Resource Centre（My IB）</w:t>
        </w:r>
      </w:hyperlink>
    </w:p>
    <w:p>
      <w:pPr>
        <w:spacing w:after="40"/>
      </w:pPr>
      <w:hyperlink r:id="rId12">
        <w:r>
          <w:rPr>
            <w:rFonts w:ascii="Calibri" w:hAnsi="Calibri" w:eastAsia="Microsoft YaHei"/>
            <w:color w:val="0E6B68"/>
            <w:u w:val="single"/>
          </w:rPr>
          <w:t>IB Exchange / DP nano resources</w:t>
        </w:r>
      </w:hyperlink>
    </w:p>
    <w:p>
      <w:pPr>
        <w:spacing w:after="40"/>
      </w:pPr>
      <w:hyperlink r:id="rId13">
        <w:r>
          <w:rPr>
            <w:rFonts w:ascii="Calibri" w:hAnsi="Calibri" w:eastAsia="Microsoft YaHei"/>
            <w:color w:val="0E6B68"/>
            <w:u w:val="single"/>
          </w:rPr>
          <w:t>Code.org CS Discoveries / AI Discoveries</w:t>
        </w:r>
      </w:hyperlink>
    </w:p>
    <w:p>
      <w:pPr>
        <w:spacing w:after="40"/>
      </w:pPr>
      <w:hyperlink r:id="rId14">
        <w:r>
          <w:rPr>
            <w:rFonts w:ascii="Calibri" w:hAnsi="Calibri" w:eastAsia="Microsoft YaHei"/>
            <w:color w:val="0E6B68"/>
            <w:u w:val="single"/>
          </w:rPr>
          <w:t>CodeHS 模块</w:t>
        </w:r>
      </w:hyperlink>
    </w:p>
    <w:p>
      <w:pPr>
        <w:pStyle w:val="Heading2"/>
      </w:pPr>
      <w:r>
        <w:t>6. 学完课程后学生将会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独立使用 Python 分解问题、设计算法并开发中等规模程序。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使用测试、调试、版本记录和清晰文档改进程序质量。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解释计算机系统、网络、数据库、算法、OOP 与机器学习的关键概念。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训练和评价基础机器学习模型，并讨论偏差、隐私、公平性和局限。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完成一项面向真实用户、包含成功标准和评价证据的计算解决方案。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带着可靠的编程、探究和 AI 责任使用习惯进入 IB DP Computer Science SL。</w:t>
      </w:r>
    </w:p>
    <w:p>
      <w:pPr>
        <w:pStyle w:val="Heading2"/>
      </w:pPr>
      <w:r>
        <w:t>7. 实施与安全边界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每学期至少一次个人口头代码讲解，确认作品与理解的一致性。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所有 AI 辅助作业附简短使用声明：工具、用途、关键提示、验证与修改。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禁止向公共 AI 工具上传可识别学生、家长、教师或客户的数据。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教师按学校账号、数据保护和年龄要求决定可用平台；平台不替代 IB 官方课程文件。</w:t>
      </w:r>
    </w:p>
    <w:p>
      <w:bookmarkStart w:id="20" w:name="part_en"/>
      <w:pPr>
        <w:pStyle w:val="Heading1"/>
      </w:pPr>
      <w:r>
        <w:t>Part B · English Curriculum</w:t>
      </w:r>
      <w:bookmarkEnd w:id="20"/>
    </w:p>
    <w:p>
      <w:pPr>
        <w:keepNext/>
        <w:spacing w:after="120"/>
      </w:pPr>
      <w:r>
        <w:rPr>
          <w:rFonts w:ascii="Calibri" w:hAnsi="Calibri" w:eastAsia="Microsoft YaHei"/>
          <w:b/>
          <w:color w:val="0E6B68"/>
          <w:sz w:val="17"/>
        </w:rPr>
        <w:t>A SCHOOL-DESIGNED PATHWAY ALIGNED TO IB DP COMPUTER SCIENCE SL</w:t>
      </w:r>
    </w:p>
    <w:p>
      <w:pPr>
        <w:spacing w:after="180"/>
      </w:pPr>
      <w:r>
        <w:rPr>
          <w:rFonts w:ascii="Calibri" w:hAnsi="Calibri" w:eastAsia="Microsoft YaHei"/>
          <w:color w:val="24313A"/>
          <w:sz w:val="21"/>
        </w:rPr>
        <w:t>A four-year progression from visual programming and digital/AI literacy into Python, algorithms, databases, networks, object-oriented programming and machine learning, culminating in a Y10 computational solution for a real user.</w:t>
      </w:r>
    </w:p>
    <w:tbl>
      <w:tblPr>
        <w:tblW w:type="dxa" w:w="912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9120"/>
      </w:tblGrid>
      <w:tr>
        <w:trPr>
          <w:cantSplit/>
          <w:tblHeader/>
        </w:trPr>
        <w:tc>
          <w:tcPr>
            <w:tcW w:type="dxa" w:w="9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3F0EE"/>
          </w:tcPr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17324D"/>
                <w:sz w:val="19"/>
              </w:rPr>
              <w:t>This is a school-designed preparatory pathway, not an official IB course or an IB-endorsed product. Alignment uses the public framework for the revised DP Computer Science course first taught in 2025 and first assessed in 2027.</w:t>
            </w:r>
          </w:p>
        </w:tc>
      </w:tr>
    </w:tbl>
    <w:p>
      <w:pPr>
        <w:spacing w:after="0"/>
      </w:pPr>
    </w:p>
    <w:tbl>
      <w:tblPr>
        <w:tblW w:type="dxa" w:w="912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4560"/>
        <w:gridCol w:w="4560"/>
      </w:tblGrid>
      <w:tr>
        <w:trPr>
          <w:cantSplit/>
          <w:tblHeader/>
        </w:trPr>
        <w:tc>
          <w:tcPr>
            <w:tcW w:type="dxa" w:w="4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3F0EE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Learners</w:t>
              <w:br/>
            </w:r>
            <w:r>
              <w:rPr>
                <w:rFonts w:ascii="Calibri" w:hAnsi="Calibri" w:eastAsia="Microsoft YaHei"/>
                <w:b/>
                <w:color w:val="17324D"/>
                <w:sz w:val="19"/>
              </w:rPr>
              <w:t>Y7–10; no prior coding required</w:t>
            </w:r>
          </w:p>
        </w:tc>
        <w:tc>
          <w:tcPr>
            <w:tcW w:type="dxa" w:w="4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3EA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Suggested time</w:t>
              <w:br/>
            </w:r>
            <w:r>
              <w:rPr>
                <w:rFonts w:ascii="Calibri" w:hAnsi="Calibri" w:eastAsia="Microsoft YaHei"/>
                <w:b/>
                <w:color w:val="17324D"/>
                <w:sz w:val="19"/>
              </w:rPr>
              <w:t>Y7–8: 60–72 hours/year; Y9–10: 72–90 hours/year</w:t>
            </w:r>
          </w:p>
        </w:tc>
      </w:tr>
      <w:tr>
        <w:trPr>
          <w:cantSplit/>
        </w:trPr>
        <w:tc>
          <w:tcPr>
            <w:tcW w:type="dxa" w:w="4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3F0EE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Core language</w:t>
              <w:br/>
            </w:r>
            <w:r>
              <w:rPr>
                <w:rFonts w:ascii="Calibri" w:hAnsi="Calibri" w:eastAsia="Microsoft YaHei"/>
                <w:b/>
                <w:color w:val="17324D"/>
                <w:sz w:val="19"/>
              </w:rPr>
              <w:t>Visual programming + Python bridge in Y7; Python in Y8–10</w:t>
            </w:r>
          </w:p>
        </w:tc>
        <w:tc>
          <w:tcPr>
            <w:tcW w:type="dxa" w:w="4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8F3EA"/>
          </w:tcPr>
          <w:p>
            <w:pPr>
              <w:spacing w:after="4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>Exit evidence</w:t>
              <w:br/>
            </w:r>
            <w:r>
              <w:rPr>
                <w:rFonts w:ascii="Calibri" w:hAnsi="Calibri" w:eastAsia="Microsoft YaHei"/>
                <w:b/>
                <w:color w:val="17324D"/>
                <w:sz w:val="19"/>
              </w:rPr>
              <w:t>Working program, tests, AI-use statement and oral defence</w:t>
            </w:r>
          </w:p>
        </w:tc>
      </w:tr>
    </w:tbl>
    <w:p>
      <w:pPr>
        <w:pStyle w:val="Heading2"/>
      </w:pPr>
      <w:r>
        <w:t>1. Positioning and design principles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Use IB-style conceptual understanding, computational thinking, inquiry, authentic contexts and reflection—not premature DP exam drilling.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Every programming unit develops algorithmic expression, debugging, testing, explanation and academic integrity; AI may support learning but cannot replace understanding.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AI learning progresses from recognising and questioning AI in Y7 to data, models, evaluation, fairness, privacy and explainability in Y10.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Students accumulate evidence through small builds and complete the full analyse–design–develop–test–evaluate cycle in Y10.</w:t>
      </w:r>
    </w:p>
    <w:p>
      <w:pPr>
        <w:pStyle w:val="Heading2"/>
      </w:pPr>
      <w:r>
        <w:t>2. Learning goals</w:t>
      </w:r>
    </w:p>
    <w:p>
      <w:pPr>
        <w:spacing w:after="80"/>
        <w:ind w:left="432" w:hanging="432"/>
      </w:pPr>
      <w:r>
        <w:rPr>
          <w:rFonts w:ascii="Calibri" w:hAnsi="Calibri" w:eastAsia="Microsoft YaHei"/>
          <w:color w:val="24313A"/>
          <w:sz w:val="20"/>
        </w:rPr>
        <w:t>1.  Understand core ideas in computer systems, networks, data, databases and machine learning.</w:t>
      </w:r>
    </w:p>
    <w:p>
      <w:pPr>
        <w:spacing w:after="80"/>
        <w:ind w:left="432" w:hanging="432"/>
      </w:pPr>
      <w:r>
        <w:rPr>
          <w:rFonts w:ascii="Calibri" w:hAnsi="Calibri" w:eastAsia="Microsoft YaHei"/>
          <w:color w:val="24313A"/>
          <w:sz w:val="20"/>
        </w:rPr>
        <w:t>2.  Decompose problems into executable steps and design, compare and improve algorithms.</w:t>
      </w:r>
    </w:p>
    <w:p>
      <w:pPr>
        <w:spacing w:after="80"/>
        <w:ind w:left="432" w:hanging="432"/>
      </w:pPr>
      <w:r>
        <w:rPr>
          <w:rFonts w:ascii="Calibri" w:hAnsi="Calibri" w:eastAsia="Microsoft YaHei"/>
          <w:color w:val="24313A"/>
          <w:sz w:val="20"/>
        </w:rPr>
        <w:t>3.  Write clear, testable and explainable programs in Python.</w:t>
      </w:r>
    </w:p>
    <w:p>
      <w:pPr>
        <w:spacing w:after="80"/>
        <w:ind w:left="432" w:hanging="432"/>
      </w:pPr>
      <w:r>
        <w:rPr>
          <w:rFonts w:ascii="Calibri" w:hAnsi="Calibri" w:eastAsia="Microsoft YaHei"/>
          <w:color w:val="24313A"/>
          <w:sz w:val="20"/>
        </w:rPr>
        <w:t>4.  Use generative AI responsibly by declaring use, verifying output, protecting personal data and recognising bias and hallucinations.</w:t>
      </w:r>
    </w:p>
    <w:p>
      <w:pPr>
        <w:spacing w:after="80"/>
        <w:ind w:left="432" w:hanging="432"/>
      </w:pPr>
      <w:r>
        <w:rPr>
          <w:rFonts w:ascii="Calibri" w:hAnsi="Calibri" w:eastAsia="Microsoft YaHei"/>
          <w:color w:val="24313A"/>
          <w:sz w:val="20"/>
        </w:rPr>
        <w:t>5.  Build a computational solution for a real user and evaluate it with evidence.</w:t>
      </w:r>
    </w:p>
    <w:p>
      <w:pPr>
        <w:pStyle w:val="Heading2"/>
      </w:pPr>
      <w:r>
        <w:t>3. Chapters and content</w:t>
      </w:r>
    </w:p>
    <w:tbl>
      <w:tblPr>
        <w:tblStyle w:val="TableGrid"/>
        <w:tblW w:type="dxa" w:w="912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1300"/>
        <w:gridCol w:w="4850"/>
        <w:gridCol w:w="2970"/>
      </w:tblGrid>
      <w:tr>
        <w:trPr>
          <w:cantSplit/>
          <w:tblHeader/>
        </w:trPr>
        <w:tc>
          <w:tcPr>
            <w:tcW w:type="dxa" w:w="1300"/>
            <w:shd w:fill="0E6B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FFFFFF"/>
                <w:sz w:val="17"/>
              </w:rPr>
              <w:t>Stage</w:t>
            </w:r>
          </w:p>
        </w:tc>
        <w:tc>
          <w:tcPr>
            <w:tcW w:type="dxa" w:w="4850"/>
            <w:shd w:fill="0E6B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FFFFFF"/>
                <w:sz w:val="17"/>
              </w:rPr>
              <w:t>Chapter and core content</w:t>
            </w:r>
          </w:p>
        </w:tc>
        <w:tc>
          <w:tcPr>
            <w:tcW w:type="dxa" w:w="2970"/>
            <w:shd w:fill="0E6B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FFFFFF"/>
                <w:sz w:val="17"/>
              </w:rPr>
              <w:t>AI practice and evidence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Y7 · 1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Digital Worlds and AI Literacy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Hardware, software and input–process–output–storage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AI versus ordinary automation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Capabilities, hallucinations, privacy and attribution in generative AI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Compare search, a rule-based program and generative AI on the same question.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Concept map + AI output checklist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Y7 · 2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Algorithms, Events and Sequence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Decomposition, pattern recognition and abstraction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Flowcharts and pseudocode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Event-driven visual programs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Rewrite vague AI instructions as a precise algorithm.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Interactive story or game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Y7 · 3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Variables, Selection and Iteration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Data types and variables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Boolean logic and branches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Count/condition loops and trace tables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Use counterexamples to test AI-generated logic.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Quiz app + test table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Y7 · 4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Functions, Debugging and Data Stories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Functions and parameters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Syntax, runtime and logic errors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Simple tabular data and visualisation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Prompt for explanations rather than answers and record why advice was accepted or rejected.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Data story + debug log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Y7 · 5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How Machines Learn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Features, labels and training data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Classifiers and misclassification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Representation, bias and fairness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Train a small classifier and test it on unseen examples.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Model card + demonstration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Y8 · 1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From Blocks to Python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Input/output, variables and operations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if/for/while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Functions, strings and lists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Explain AI-suggested code line by line and rebuild the core logic without the tool.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Python mini-project portfolio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Y8 · 2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Algorithms, Search and Sort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Linear and binary search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Simple sorting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Correctness, efficiency and edge cases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Ask AI for test data, then judge whether coverage is sufficient.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Algorithm comparison lab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Y8 · 3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Networks, Security and Databases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Internet, protocols and client/server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Authentication, social engineering and password safety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Tables, keys, queries and introductory SQL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Analyse why a chatbot should not receive passwords or sensitive student data.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Security audit + small database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Y8 · 4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From Data to Machine Learning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Cleaning and train/test splits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Accuracy and error analysis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Correlation is not causation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Compare a rules baseline with a classifier and justify the choice.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Machine-learning lab report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Y8 · 5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Team Application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User stories and interface prototypes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Pair programming and version records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Testing, feedback and iteration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Submit a prompt–output–verification–revision record.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Team app + individual reflection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Y9 · 1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Python Engineering Foundations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Modularity, scope, files and exceptions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Assertions, unit tests and debugger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Style and documentation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Treat AI-generated code as an unreviewed draft.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Command-line tool + tests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Y9 · 2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Algorithms and Data Structures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Lists, dictionaries, stack and queue concepts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Search, sort and introductory recursion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Operation counts and scalability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Verify algorithms with trace tables; confidence is not evidence.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Algorithm lab book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Y9 · 3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Object-Oriented Programming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Classes, objects, attributes and methods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Encapsulation, inheritance and composition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UML class diagrams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Review an AI-proposed class design and remove unnecessary abstraction.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OOP simulation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Y9 · 4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Systems, Networks and Databases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Binary, logic and system components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Network layers, protocols and security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Relational models, introductory normalisation and SQL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Trace the systems and data path of a cloud AI request.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Network explainer + database app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Y9 · 5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Machine-Learning Foundations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Supervised and unsupervised learning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Features, baselines and train/validation/test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Accuracy, precision, recall and limitations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Run a reproducible experiment and record data provenance.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Model evaluation report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Y10 · 1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Algorithm Design and Program Quality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Decomposition, abstraction and module interfaces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Algorithm comparison and boundary testing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Refactoring, readability and maintenance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Use tests, static checks and human explanation to validate AI suggestions.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Test-driven project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Y10 · 2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OOP and Data Modelling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Collaborating classes and UML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Database design, joins and queries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Data integrity and access control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Design minimum data collection and keep personal information out of external models.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Data-driven application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Y10 · 3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Machine Learning in Sociotechnical Systems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Model choice, overfitting and metrics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Fairness, privacy, IP and environmental cost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Human–AI collaboration and explainability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Complete a data/model card and risk register.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AI feature prototype + audit</w:t>
            </w:r>
          </w:p>
        </w:tc>
      </w:tr>
      <w:tr>
        <w:trPr>
          <w:cantSplit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Y10 · 4</w:t>
            </w:r>
          </w:p>
        </w:tc>
        <w:tc>
          <w:tcPr>
            <w:tcW w:type="dxa" w:w="4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Emerging-Technology Case Study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Reading multiple technical sources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Stakeholder and impact analysis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Evidence-based argument and citation</w:t>
            </w:r>
          </w:p>
        </w:tc>
        <w:tc>
          <w:tcPr>
            <w:tcW w:type="dxa" w:w="2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Verify generative-AI facts, citations and missing perspectives.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Case brief + seminar</w:t>
            </w:r>
          </w:p>
        </w:tc>
      </w:tr>
      <w:tr>
        <w:trPr>
          <w:cantSplit/>
        </w:trPr>
        <w:tc>
          <w:tcPr>
            <w:tcW w:type="dxa" w:w="1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Microsoft YaHei"/>
                <w:b/>
                <w:color w:val="0E6B68"/>
                <w:sz w:val="16"/>
              </w:rPr>
              <w:t>Y10 · 5</w:t>
            </w:r>
          </w:p>
        </w:tc>
        <w:tc>
          <w:tcPr>
            <w:tcW w:type="dxa" w:w="485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60"/>
            </w:pPr>
            <w:r>
              <w:rPr>
                <w:rFonts w:ascii="Calibri" w:hAnsi="Calibri" w:eastAsia="Microsoft YaHei"/>
                <w:b/>
                <w:color w:val="17324D"/>
                <w:sz w:val="18"/>
              </w:rPr>
              <w:t>Computational Solution Mini-IA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Real client/user and success criteria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Design, development, testing and iteration</w:t>
            </w:r>
          </w:p>
          <w:p>
            <w:pPr>
              <w:pStyle w:val="ListBullet"/>
              <w:spacing w:after="20"/>
              <w:ind w:left="230" w:hanging="173"/>
            </w:pPr>
            <w:r>
              <w:rPr>
                <w:rFonts w:ascii="Calibri" w:hAnsi="Calibri" w:eastAsia="Microsoft YaHei"/>
                <w:color w:val="24313A"/>
                <w:sz w:val="16"/>
              </w:rPr>
              <w:t>Evaluation, demonstration and oral defence</w:t>
            </w:r>
          </w:p>
        </w:tc>
        <w:tc>
          <w:tcPr>
            <w:tcW w:type="dxa" w:w="297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8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AI: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Attach an AI-use statement; students independently explain and modify all submitted code.</w:t>
            </w:r>
          </w:p>
          <w:p>
            <w:pPr>
              <w:spacing w:after="0"/>
            </w:pPr>
            <w:r>
              <w:rPr>
                <w:rFonts w:ascii="Calibri" w:hAnsi="Calibri" w:eastAsia="Microsoft YaHei"/>
                <w:b/>
                <w:color w:val="0E6B68"/>
                <w:sz w:val="16"/>
              </w:rPr>
              <w:t xml:space="preserve">Evidence: </w:t>
            </w:r>
            <w:r>
              <w:rPr>
                <w:rFonts w:ascii="Calibri" w:hAnsi="Calibri" w:eastAsia="Microsoft YaHei"/>
                <w:color w:val="24313A"/>
                <w:sz w:val="16"/>
              </w:rPr>
              <w:t>Complete project dossier</w:t>
            </w:r>
          </w:p>
        </w:tc>
      </w:tr>
    </w:tbl>
    <w:p>
      <w:pPr>
        <w:pStyle w:val="Heading2"/>
      </w:pPr>
      <w:r>
        <w:t>4. Assessment design</w:t>
      </w:r>
    </w:p>
    <w:tbl>
      <w:tblPr>
        <w:tblStyle w:val="TableGrid"/>
        <w:tblW w:type="dxa" w:w="912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600"/>
        <w:gridCol w:w="1100"/>
        <w:gridCol w:w="5420"/>
      </w:tblGrid>
      <w:tr>
        <w:trPr>
          <w:cantSplit/>
          <w:tblHeader/>
        </w:trPr>
        <w:tc>
          <w:tcPr>
            <w:tcW w:type="dxa" w:w="2600"/>
            <w:shd w:fill="0E6B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Microsoft YaHei"/>
                <w:b/>
                <w:color w:val="FFFFFF"/>
                <w:sz w:val="17"/>
              </w:rPr>
              <w:t>Component</w:t>
            </w:r>
          </w:p>
        </w:tc>
        <w:tc>
          <w:tcPr>
            <w:tcW w:type="dxa" w:w="1100"/>
            <w:shd w:fill="0E6B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Microsoft YaHei"/>
                <w:b/>
                <w:color w:val="FFFFFF"/>
                <w:sz w:val="17"/>
              </w:rPr>
              <w:t>Weight</w:t>
            </w:r>
          </w:p>
        </w:tc>
        <w:tc>
          <w:tcPr>
            <w:tcW w:type="dxa" w:w="5420"/>
            <w:shd w:fill="0E6B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Microsoft YaHei"/>
                <w:b/>
                <w:color w:val="FFFFFF"/>
                <w:sz w:val="17"/>
              </w:rPr>
              <w:t>Core evidence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Projects and portfolio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45%</w:t>
            </w:r>
          </w:p>
        </w:tc>
        <w:tc>
          <w:tcPr>
            <w:tcW w:type="dxa" w:w="5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Programs, design, tests, iteration and reflection</w:t>
            </w:r>
          </w:p>
        </w:tc>
      </w:tr>
      <w:tr>
        <w:trPr>
          <w:cantSplit/>
        </w:trPr>
        <w:tc>
          <w:tcPr>
            <w:tcW w:type="dxa" w:w="26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Timed programming practice</w:t>
            </w:r>
          </w:p>
        </w:tc>
        <w:tc>
          <w:tcPr>
            <w:tcW w:type="dxa" w:w="11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25%</w:t>
            </w:r>
          </w:p>
        </w:tc>
        <w:tc>
          <w:tcPr>
            <w:tcW w:type="dxa" w:w="542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Individually completed and explainable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Conceptual understanding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20%</w:t>
            </w:r>
          </w:p>
        </w:tc>
        <w:tc>
          <w:tcPr>
            <w:tcW w:type="dxa" w:w="54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Systems, networks, data, algorithms and AI</w:t>
            </w:r>
          </w:p>
        </w:tc>
      </w:tr>
      <w:tr>
        <w:trPr>
          <w:cantSplit/>
        </w:trPr>
        <w:tc>
          <w:tcPr>
            <w:tcW w:type="dxa" w:w="26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AI ethics and use records</w:t>
            </w:r>
          </w:p>
        </w:tc>
        <w:tc>
          <w:tcPr>
            <w:tcW w:type="dxa" w:w="11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10%</w:t>
            </w:r>
          </w:p>
        </w:tc>
        <w:tc>
          <w:tcPr>
            <w:tcW w:type="dxa" w:w="542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Prompts, verification, attribution, privacy and bias reflection</w:t>
            </w:r>
          </w:p>
        </w:tc>
      </w:tr>
    </w:tbl>
    <w:p>
      <w:pPr>
        <w:spacing w:after="0"/>
      </w:pPr>
    </w:p>
    <w:p>
      <w:pPr>
        <w:pStyle w:val="Heading2"/>
      </w:pPr>
      <w:r>
        <w:t>5. Platforms and learning resources</w:t>
      </w:r>
    </w:p>
    <w:tbl>
      <w:tblPr>
        <w:tblStyle w:val="TableGrid"/>
        <w:tblW w:type="dxa" w:w="9120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2500"/>
        <w:gridCol w:w="4300"/>
        <w:gridCol w:w="2320"/>
      </w:tblGrid>
      <w:tr>
        <w:trPr>
          <w:cantSplit/>
          <w:tblHeader/>
        </w:trPr>
        <w:tc>
          <w:tcPr>
            <w:tcW w:type="dxa" w:w="2500"/>
            <w:shd w:fill="0E6B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Microsoft YaHei"/>
                <w:b/>
                <w:color w:val="FFFFFF"/>
                <w:sz w:val="17"/>
              </w:rPr>
              <w:t>Platform/resource</w:t>
            </w:r>
          </w:p>
        </w:tc>
        <w:tc>
          <w:tcPr>
            <w:tcW w:type="dxa" w:w="4300"/>
            <w:shd w:fill="0E6B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Microsoft YaHei"/>
                <w:b/>
                <w:color w:val="FFFFFF"/>
                <w:sz w:val="17"/>
              </w:rPr>
              <w:t>Role in the course</w:t>
            </w:r>
          </w:p>
        </w:tc>
        <w:tc>
          <w:tcPr>
            <w:tcW w:type="dxa" w:w="2320"/>
            <w:shd w:fill="0E6B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Calibri" w:hAnsi="Calibri" w:eastAsia="Microsoft YaHei"/>
                <w:b/>
                <w:color w:val="FFFFFF"/>
                <w:sz w:val="17"/>
              </w:rPr>
              <w:t>Authority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IB Programme Resource Centre (My IB)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The authoritative curriculum layer for subject guides, teacher support material, specimen materials and school-access resources.</w:t>
            </w:r>
          </w:p>
        </w:tc>
        <w:tc>
          <w:tcPr>
            <w:tcW w:type="dxa" w:w="2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Official IB; school login</w:t>
            </w:r>
          </w:p>
        </w:tc>
      </w:tr>
      <w:tr>
        <w:trPr>
          <w:cantSplit/>
        </w:trPr>
        <w:tc>
          <w:tcPr>
            <w:tcW w:type="dxa" w:w="25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IB Exchange / DP nano resources</w:t>
            </w:r>
          </w:p>
        </w:tc>
        <w:tc>
          <w:tcPr>
            <w:tcW w:type="dxa" w:w="4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Teacher professional learning, curated materials and updates for the revised course.</w:t>
            </w:r>
          </w:p>
        </w:tc>
        <w:tc>
          <w:tcPr>
            <w:tcW w:type="dxa" w:w="232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Official IB; some access requires My IB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Code.org CS Discoveries / AI Discoveries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Classroom activities, visual programming and AI literacy for Y7–8.</w:t>
            </w:r>
          </w:p>
        </w:tc>
        <w:tc>
          <w:tcPr>
            <w:tcW w:type="dxa" w:w="2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Third-party nonprofit resource; not an IB platform</w:t>
            </w:r>
          </w:p>
        </w:tc>
      </w:tr>
      <w:tr>
        <w:trPr>
          <w:cantSplit/>
        </w:trPr>
        <w:tc>
          <w:tcPr>
            <w:tcW w:type="dxa" w:w="25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CodeHS modules</w:t>
            </w:r>
          </w:p>
        </w:tc>
        <w:tc>
          <w:tcPr>
            <w:tcW w:type="dxa" w:w="430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Supplementary Python, AI, cybersecurity and Java practice for Y9–10, assembled around coverage gaps.</w:t>
            </w:r>
          </w:p>
        </w:tc>
        <w:tc>
          <w:tcPr>
            <w:tcW w:type="dxa" w:w="2320"/>
            <w:shd w:fill="F7F9F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Third party; CodeHS states it does not yet offer a dedicated course fully aligned to the 2025 syllabus</w:t>
            </w:r>
          </w:p>
        </w:tc>
      </w:tr>
      <w:tr>
        <w:trPr>
          <w:cantSplit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School Git repository + teacher-authored materials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Fill systems, networks, databases, case-study and process-evidence needs while protecting student code and data.</w:t>
            </w:r>
          </w:p>
        </w:tc>
        <w:tc>
          <w:tcPr>
            <w:tcW w:type="dxa" w:w="23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 w:eastAsia="Microsoft YaHei"/>
                <w:color w:val="24313A"/>
                <w:sz w:val="17"/>
              </w:rPr>
              <w:t>School-governed layer</w:t>
            </w:r>
          </w:p>
        </w:tc>
      </w:tr>
    </w:tbl>
    <w:p>
      <w:pPr>
        <w:spacing w:after="0"/>
      </w:pPr>
    </w:p>
    <w:p>
      <w:pPr>
        <w:spacing w:after="40"/>
      </w:pPr>
      <w:hyperlink r:id="rId11">
        <w:r>
          <w:rPr>
            <w:rFonts w:ascii="Calibri" w:hAnsi="Calibri" w:eastAsia="Microsoft YaHei"/>
            <w:color w:val="0E6B68"/>
            <w:u w:val="single"/>
          </w:rPr>
          <w:t>IB Programme Resource Centre (My IB)</w:t>
        </w:r>
      </w:hyperlink>
    </w:p>
    <w:p>
      <w:pPr>
        <w:spacing w:after="40"/>
      </w:pPr>
      <w:hyperlink r:id="rId12">
        <w:r>
          <w:rPr>
            <w:rFonts w:ascii="Calibri" w:hAnsi="Calibri" w:eastAsia="Microsoft YaHei"/>
            <w:color w:val="0E6B68"/>
            <w:u w:val="single"/>
          </w:rPr>
          <w:t>IB Exchange / DP nano resources</w:t>
        </w:r>
      </w:hyperlink>
    </w:p>
    <w:p>
      <w:pPr>
        <w:spacing w:after="40"/>
      </w:pPr>
      <w:hyperlink r:id="rId13">
        <w:r>
          <w:rPr>
            <w:rFonts w:ascii="Calibri" w:hAnsi="Calibri" w:eastAsia="Microsoft YaHei"/>
            <w:color w:val="0E6B68"/>
            <w:u w:val="single"/>
          </w:rPr>
          <w:t>Code.org CS Discoveries / AI Discoveries</w:t>
        </w:r>
      </w:hyperlink>
    </w:p>
    <w:p>
      <w:pPr>
        <w:spacing w:after="40"/>
      </w:pPr>
      <w:hyperlink r:id="rId14">
        <w:r>
          <w:rPr>
            <w:rFonts w:ascii="Calibri" w:hAnsi="Calibri" w:eastAsia="Microsoft YaHei"/>
            <w:color w:val="0E6B68"/>
            <w:u w:val="single"/>
          </w:rPr>
          <w:t>CodeHS modules</w:t>
        </w:r>
      </w:hyperlink>
    </w:p>
    <w:p>
      <w:pPr>
        <w:pStyle w:val="Heading2"/>
      </w:pPr>
      <w:r>
        <w:t>6. By the end, students will be able to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Independently use Python to decompose problems, design algorithms and develop medium-scale programs.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Improve program quality through testing, debugging, version records and clear documentation.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Explain key concepts in systems, networks, databases, algorithms, OOP and machine learning.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Train and evaluate introductory machine-learning models and discuss bias, privacy, fairness and limitations.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Complete a computational solution for a real user with success criteria and evaluation evidence.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Enter IB DP Computer Science SL with reliable programming, inquiry and responsible-AI habits.</w:t>
      </w:r>
    </w:p>
    <w:p>
      <w:pPr>
        <w:pStyle w:val="Heading2"/>
      </w:pPr>
      <w:r>
        <w:t>7. Implementation and safeguards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Include at least one individual oral code explanation each semester to match authorship with understanding.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Every AI-assisted submission carries a short statement covering tool, purpose, key prompt, verification and revision.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Never upload identifiable student, parent, teacher or client data to a public AI tool.</w:t>
      </w:r>
    </w:p>
    <w:p>
      <w:pPr>
        <w:pStyle w:val="ListBullet"/>
        <w:spacing w:after="80" w:line="274" w:lineRule="auto"/>
        <w:ind w:left="360" w:hanging="230"/>
      </w:pPr>
      <w:r>
        <w:rPr>
          <w:rFonts w:ascii="Calibri" w:hAnsi="Calibri" w:eastAsia="Microsoft YaHei"/>
          <w:color w:val="24313A"/>
          <w:sz w:val="20"/>
        </w:rPr>
        <w:t>Teachers approve platforms against school accounts, data protection and age requirements; platforms do not replace official IB documents.</w:t>
      </w:r>
    </w:p>
    <w:p>
      <w:bookmarkStart w:id="80" w:name="sources"/>
      <w:pPr>
        <w:pStyle w:val="Heading1"/>
      </w:pPr>
      <w:r>
        <w:t>来源 / Sources</w:t>
      </w:r>
      <w:bookmarkEnd w:id="80"/>
    </w:p>
    <w:p>
      <w:r>
        <w:rPr>
          <w:rFonts w:ascii="Calibri" w:hAnsi="Calibri" w:eastAsia="Microsoft YaHei"/>
          <w:color w:val="24313A"/>
          <w:sz w:val="19"/>
        </w:rPr>
        <w:t>以下链接是课程对齐、赛事日程与平台建议的核验依据。赛事信息可能更新；报名与提交前必须回到当届官网或正式通知。</w:t>
        <w:br/>
        <w:t>The links below support curriculum alignment, event timing and platform recommendations. Event information can change; recheck the current official notice before registration or submission.</w:t>
      </w:r>
    </w:p>
    <w:p>
      <w:pPr>
        <w:spacing w:after="100"/>
        <w:ind w:left="288" w:hanging="288"/>
      </w:pPr>
      <w:r>
        <w:rPr>
          <w:rFonts w:ascii="Calibri" w:hAnsi="Calibri" w:eastAsia="Microsoft YaHei"/>
          <w:b/>
          <w:color w:val="0E6B68"/>
          <w:sz w:val="18"/>
        </w:rPr>
        <w:t xml:space="preserve">1. </w:t>
      </w:r>
      <w:hyperlink r:id="rId15">
        <w:r>
          <w:rPr>
            <w:rFonts w:ascii="Calibri" w:hAnsi="Calibri" w:eastAsia="Microsoft YaHei"/>
            <w:color w:val="0E6B68"/>
            <w:u w:val="single"/>
          </w:rPr>
          <w:t>IB Computer Science curriculum update</w:t>
        </w:r>
      </w:hyperlink>
      <w:r>
        <w:br/>
      </w:r>
      <w:r>
        <w:rPr>
          <w:rFonts w:ascii="Calibri" w:hAnsi="Calibri" w:eastAsia="Microsoft YaHei"/>
          <w:color w:val="687783"/>
          <w:sz w:val="15"/>
        </w:rPr>
        <w:t>https://ibo.org/university-admission/latest-curriculum-updates/computer-science-updates/</w:t>
      </w:r>
    </w:p>
    <w:p>
      <w:pPr>
        <w:spacing w:after="100"/>
        <w:ind w:left="288" w:hanging="288"/>
      </w:pPr>
      <w:r>
        <w:rPr>
          <w:rFonts w:ascii="Calibri" w:hAnsi="Calibri" w:eastAsia="Microsoft YaHei"/>
          <w:b/>
          <w:color w:val="0E6B68"/>
          <w:sz w:val="18"/>
        </w:rPr>
        <w:t xml:space="preserve">2. </w:t>
      </w:r>
      <w:hyperlink r:id="rId16">
        <w:r>
          <w:rPr>
            <w:rFonts w:ascii="Calibri" w:hAnsi="Calibri" w:eastAsia="Microsoft YaHei"/>
            <w:color w:val="0E6B68"/>
            <w:u w:val="single"/>
          </w:rPr>
          <w:t>IB DP Computer Science subject brief (first assessment 2027)</w:t>
        </w:r>
      </w:hyperlink>
      <w:r>
        <w:br/>
      </w:r>
      <w:r>
        <w:rPr>
          <w:rFonts w:ascii="Calibri" w:hAnsi="Calibri" w:eastAsia="Microsoft YaHei"/>
          <w:color w:val="687783"/>
          <w:sz w:val="15"/>
        </w:rPr>
        <w:t>https://www.ibo.org/globalassets/new-structure/university-admission/pdfs/dp_comp_sci_subjectbrief_en.pdf</w:t>
      </w:r>
    </w:p>
    <w:p>
      <w:pPr>
        <w:spacing w:after="100"/>
        <w:ind w:left="288" w:hanging="288"/>
      </w:pPr>
      <w:r>
        <w:rPr>
          <w:rFonts w:ascii="Calibri" w:hAnsi="Calibri" w:eastAsia="Microsoft YaHei"/>
          <w:b/>
          <w:color w:val="0E6B68"/>
          <w:sz w:val="18"/>
        </w:rPr>
        <w:t xml:space="preserve">3. </w:t>
      </w:r>
      <w:hyperlink r:id="rId11">
        <w:r>
          <w:rPr>
            <w:rFonts w:ascii="Calibri" w:hAnsi="Calibri" w:eastAsia="Microsoft YaHei"/>
            <w:color w:val="0E6B68"/>
            <w:u w:val="single"/>
          </w:rPr>
          <w:t>IB Programme Resource Centre for teachers</w:t>
        </w:r>
      </w:hyperlink>
      <w:r>
        <w:br/>
      </w:r>
      <w:r>
        <w:rPr>
          <w:rFonts w:ascii="Calibri" w:hAnsi="Calibri" w:eastAsia="Microsoft YaHei"/>
          <w:color w:val="687783"/>
          <w:sz w:val="15"/>
        </w:rPr>
        <w:t>https://www.ibo.org/programmes/diploma-programme/resources-for-teachers/</w:t>
      </w:r>
    </w:p>
    <w:p>
      <w:pPr>
        <w:spacing w:after="100"/>
        <w:ind w:left="288" w:hanging="288"/>
      </w:pPr>
      <w:r>
        <w:rPr>
          <w:rFonts w:ascii="Calibri" w:hAnsi="Calibri" w:eastAsia="Microsoft YaHei"/>
          <w:b/>
          <w:color w:val="0E6B68"/>
          <w:sz w:val="18"/>
        </w:rPr>
        <w:t xml:space="preserve">4. </w:t>
      </w:r>
      <w:hyperlink r:id="rId12">
        <w:r>
          <w:rPr>
            <w:rFonts w:ascii="Calibri" w:hAnsi="Calibri" w:eastAsia="Microsoft YaHei"/>
            <w:color w:val="0E6B68"/>
            <w:u w:val="single"/>
          </w:rPr>
          <w:t>IB Exchange</w:t>
        </w:r>
      </w:hyperlink>
      <w:r>
        <w:br/>
      </w:r>
      <w:r>
        <w:rPr>
          <w:rFonts w:ascii="Calibri" w:hAnsi="Calibri" w:eastAsia="Microsoft YaHei"/>
          <w:color w:val="687783"/>
          <w:sz w:val="15"/>
        </w:rPr>
        <w:t>https://ibo.org/professional-development/discover-ib-exchange/</w:t>
      </w:r>
    </w:p>
    <w:p>
      <w:pPr>
        <w:spacing w:after="100"/>
        <w:ind w:left="288" w:hanging="288"/>
      </w:pPr>
      <w:r>
        <w:rPr>
          <w:rFonts w:ascii="Calibri" w:hAnsi="Calibri" w:eastAsia="Microsoft YaHei"/>
          <w:b/>
          <w:color w:val="0E6B68"/>
          <w:sz w:val="18"/>
        </w:rPr>
        <w:t xml:space="preserve">5. </w:t>
      </w:r>
      <w:hyperlink r:id="rId17">
        <w:r>
          <w:rPr>
            <w:rFonts w:ascii="Calibri" w:hAnsi="Calibri" w:eastAsia="Microsoft YaHei"/>
            <w:color w:val="0E6B68"/>
            <w:u w:val="single"/>
          </w:rPr>
          <w:t>IB DP nano professional development resources</w:t>
        </w:r>
      </w:hyperlink>
      <w:r>
        <w:br/>
      </w:r>
      <w:r>
        <w:rPr>
          <w:rFonts w:ascii="Calibri" w:hAnsi="Calibri" w:eastAsia="Microsoft YaHei"/>
          <w:color w:val="687783"/>
          <w:sz w:val="15"/>
        </w:rPr>
        <w:t>https://ibo.org/professional-development/free-learning/dp-pd-learning-resources/dp-nano-resources/</w:t>
      </w:r>
    </w:p>
    <w:p>
      <w:pPr>
        <w:spacing w:after="100"/>
        <w:ind w:left="288" w:hanging="288"/>
      </w:pPr>
      <w:r>
        <w:rPr>
          <w:rFonts w:ascii="Calibri" w:hAnsi="Calibri" w:eastAsia="Microsoft YaHei"/>
          <w:b/>
          <w:color w:val="0E6B68"/>
          <w:sz w:val="18"/>
        </w:rPr>
        <w:t xml:space="preserve">6. </w:t>
      </w:r>
      <w:hyperlink r:id="rId13">
        <w:r>
          <w:rPr>
            <w:rFonts w:ascii="Calibri" w:hAnsi="Calibri" w:eastAsia="Microsoft YaHei"/>
            <w:color w:val="0E6B68"/>
            <w:u w:val="single"/>
          </w:rPr>
          <w:t>Code.org Artificial Intelligence Discoveries</w:t>
        </w:r>
      </w:hyperlink>
      <w:r>
        <w:br/>
      </w:r>
      <w:r>
        <w:rPr>
          <w:rFonts w:ascii="Calibri" w:hAnsi="Calibri" w:eastAsia="Microsoft YaHei"/>
          <w:color w:val="687783"/>
          <w:sz w:val="15"/>
        </w:rPr>
        <w:t>https://code.org/en-US/curriculum/artificial-intelligence-discoveries</w:t>
      </w:r>
    </w:p>
    <w:p>
      <w:pPr>
        <w:spacing w:after="100"/>
        <w:ind w:left="288" w:hanging="288"/>
      </w:pPr>
      <w:r>
        <w:rPr>
          <w:rFonts w:ascii="Calibri" w:hAnsi="Calibri" w:eastAsia="Microsoft YaHei"/>
          <w:b/>
          <w:color w:val="0E6B68"/>
          <w:sz w:val="18"/>
        </w:rPr>
        <w:t xml:space="preserve">7. </w:t>
      </w:r>
      <w:hyperlink r:id="rId14">
        <w:r>
          <w:rPr>
            <w:rFonts w:ascii="Calibri" w:hAnsi="Calibri" w:eastAsia="Microsoft YaHei"/>
            <w:color w:val="0E6B68"/>
            <w:u w:val="single"/>
          </w:rPr>
          <w:t>CodeHS 2025 IB standards resource guide</w:t>
        </w:r>
      </w:hyperlink>
      <w:r>
        <w:br/>
      </w:r>
      <w:r>
        <w:rPr>
          <w:rFonts w:ascii="Calibri" w:hAnsi="Calibri" w:eastAsia="Microsoft YaHei"/>
          <w:color w:val="687783"/>
          <w:sz w:val="15"/>
        </w:rPr>
        <w:t>https://help.codehs.com/en/articles/15166810-ib-computer-science-2025-standards-resources-guide</w:t>
      </w:r>
    </w:p>
    <w:p>
      <w:pPr>
        <w:pStyle w:val="Heading2"/>
      </w:pPr>
      <w:r>
        <w:t>版本说明 / Version note</w:t>
      </w:r>
    </w:p>
    <w:p>
      <w:r>
        <w:rPr>
          <w:rFonts w:ascii="Calibri" w:hAnsi="Calibri" w:eastAsia="Microsoft YaHei"/>
          <w:color w:val="687783"/>
          <w:sz w:val="18"/>
        </w:rPr>
        <w:t>课程方案版本：2026-08-12。课时、设备和校历为建议值，学校可在不削弱学习成果与安全边界的前提下调整。</w:t>
        <w:br/>
        <w:t>Curriculum version: 2026-08-12. Hours, devices and calendar are recommendations; the school may adapt them without weakening outcomes or safeguards.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296" w:bottom="1037" w:left="1296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687783"/>
        <w:sz w:val="16"/>
      </w:rPr>
      <w:t xml:space="preserve">AI Learning Pathways  ·  </w:t>
    </w:r>
    <w:r>
      <w:rPr>
        <w:rFonts w:ascii="Calibri" w:hAnsi="Calibri" w:eastAsia="Microsoft YaHei"/>
        <w:color w:val="687783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Microsoft YaHei"/>
        <w:b/>
        <w:color w:val="0E6B68"/>
        <w:sz w:val="16"/>
      </w:rPr>
      <w:t>Foundations of Programming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</w:pPr>
    <w:rPr>
      <w:rFonts w:ascii="Calibri" w:hAnsi="Calibri" w:eastAsia="Microsoft YaHei"/>
      <w:color w:val="24313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17324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60" w:after="12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0E6B6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7324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Calibri" w:hAnsi="Calibri" w:eastAsia="Microsoft YaHei"/>
      <w:b/>
      <w:color w:val="17324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Calibri" w:hAnsi="Calibri" w:eastAsia="Microsoft YaHei"/>
      <w:b w:val="0"/>
      <w:i/>
      <w:iCs/>
      <w:color w:val="687783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ibo.org/programmes/diploma-programme/resources-for-teachers/" TargetMode="External"/><Relationship Id="rId12" Type="http://schemas.openxmlformats.org/officeDocument/2006/relationships/hyperlink" Target="https://ibo.org/professional-development/discover-ib-exchange/" TargetMode="External"/><Relationship Id="rId13" Type="http://schemas.openxmlformats.org/officeDocument/2006/relationships/hyperlink" Target="https://code.org/en-US/curriculum/artificial-intelligence-discoveries" TargetMode="External"/><Relationship Id="rId14" Type="http://schemas.openxmlformats.org/officeDocument/2006/relationships/hyperlink" Target="https://help.codehs.com/en/articles/15166810-ib-computer-science-2025-standards-resources-guide" TargetMode="External"/><Relationship Id="rId15" Type="http://schemas.openxmlformats.org/officeDocument/2006/relationships/hyperlink" Target="https://ibo.org/university-admission/latest-curriculum-updates/computer-science-updates/" TargetMode="External"/><Relationship Id="rId16" Type="http://schemas.openxmlformats.org/officeDocument/2006/relationships/hyperlink" Target="https://www.ibo.org/globalassets/new-structure/university-admission/pdfs/dp_comp_sci_subjectbrief_en.pdf" TargetMode="External"/><Relationship Id="rId17" Type="http://schemas.openxmlformats.org/officeDocument/2006/relationships/hyperlink" Target="https://ibo.org/professional-development/free-learning/dp-pd-learning-resources/dp-nano-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编程基础 / Foundations of Programming</dc:title>
  <dc:subject>Bilingual school curriculum brief with AI learning progression</dc:subject>
  <dc:creator>AI Learning Pathways</dc:creator>
  <cp:keywords>curriculum, AI literacy, programming, IB, bilingual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